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600" w:lineRule="exact"/>
        <w:jc w:val="left"/>
        <w:rPr>
          <w:rFonts w:hint="default" w:asci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eastAsia="方正小标宋简体" w:cs="Times New Roman"/>
          <w:sz w:val="36"/>
          <w:szCs w:val="36"/>
          <w:lang w:val="en-US" w:eastAsia="zh-CN"/>
        </w:rPr>
        <w:t>附件一：</w:t>
      </w:r>
      <w:bookmarkStart w:id="0" w:name="_GoBack"/>
      <w:bookmarkEnd w:id="0"/>
    </w:p>
    <w:p>
      <w:pPr>
        <w:widowControl/>
        <w:spacing w:after="312" w:afterLines="100"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eastAsia="方正小标宋简体" w:cs="Times New Roman"/>
          <w:sz w:val="36"/>
          <w:szCs w:val="36"/>
        </w:rPr>
        <w:t>心理健康教育优秀咨询案例内容及格式要求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t>一、标题</w:t>
      </w:r>
    </w:p>
    <w:p>
      <w:pPr>
        <w:widowControl/>
        <w:spacing w:line="338" w:lineRule="auto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标题应直接反映咨询案例的类型或咨询方法的特点，且要明确、简洁。</w:t>
      </w:r>
      <w:r>
        <w:rPr>
          <w:rFonts w:hint="eastAsia" w:ascii="Times New Roman" w:eastAsia="仿宋_GB2312" w:cs="Times New Roman"/>
          <w:sz w:val="32"/>
          <w:szCs w:val="32"/>
        </w:rPr>
        <w:t>WORD版标题下方请注明作者姓名、学校及所在二级单位信息。</w:t>
      </w:r>
    </w:p>
    <w:p>
      <w:pPr>
        <w:widowControl/>
        <w:spacing w:line="338" w:lineRule="auto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t>二、案例主要结构和内容</w:t>
      </w:r>
    </w:p>
    <w:p>
      <w:pPr>
        <w:widowControl/>
        <w:spacing w:line="338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（一）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个案信息</w:t>
      </w:r>
    </w:p>
    <w:p>
      <w:pPr>
        <w:widowControl/>
        <w:spacing w:line="33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包括求助者的人口统计学资料、主诉或求助问题、求助动机或目标、求助过程、以往咨询经历以及个案对此的评价、主要家庭成员及关系、成长经历、对个案的初始印象等。</w:t>
      </w:r>
    </w:p>
    <w:p>
      <w:pPr>
        <w:widowControl/>
        <w:numPr>
          <w:ilvl w:val="255"/>
          <w:numId w:val="0"/>
        </w:numPr>
        <w:spacing w:line="338" w:lineRule="auto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（二）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咨询信息</w:t>
      </w:r>
    </w:p>
    <w:p>
      <w:pPr>
        <w:widowControl/>
        <w:spacing w:line="338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包括起止日期、会谈频率、会谈次数、是否接受过督导、是否接受药物治疗等。</w:t>
      </w:r>
    </w:p>
    <w:p>
      <w:pPr>
        <w:widowControl/>
        <w:spacing w:line="338" w:lineRule="auto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（三）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个案概念化（含评估与工作诊断）</w:t>
      </w:r>
    </w:p>
    <w:p>
      <w:pPr>
        <w:widowControl/>
        <w:spacing w:line="33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评估包括确定评估目标、选择评估工具或方法、评估过程、结果及解释。如果没有工作诊断，则应说明为什么没有做诊断（例如所属理论流派拒绝做诊断）。个案概念化即依据专业理论对个案问题、症状、障碍的发生、发展做出解释。</w:t>
      </w:r>
    </w:p>
    <w:p>
      <w:pPr>
        <w:widowControl/>
        <w:spacing w:line="338" w:lineRule="auto"/>
        <w:ind w:firstLine="63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（四）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咨询方案</w:t>
      </w:r>
    </w:p>
    <w:p>
      <w:pPr>
        <w:widowControl/>
        <w:spacing w:line="33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eastAsia="仿宋_GB2312" w:cs="Times New Roman"/>
          <w:sz w:val="32"/>
          <w:szCs w:val="32"/>
        </w:rPr>
        <w:t>．理论依据：即制定方案所依据的某个或某些专业理论。</w:t>
      </w:r>
    </w:p>
    <w:p>
      <w:pPr>
        <w:widowControl/>
        <w:spacing w:line="33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．咨询目标：包括目标设置的过程、目标的分析与描述。</w:t>
      </w:r>
    </w:p>
    <w:p>
      <w:pPr>
        <w:widowControl/>
        <w:spacing w:line="33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</w:rPr>
        <w:t>．咨询方法：包括方法的考虑或选择过程、实施设想。</w:t>
      </w:r>
    </w:p>
    <w:p>
      <w:pPr>
        <w:widowControl/>
        <w:spacing w:line="33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．其他：如咨询次数、注意事项等，如无则不需要。</w:t>
      </w:r>
    </w:p>
    <w:p>
      <w:pPr>
        <w:spacing w:line="338" w:lineRule="auto"/>
        <w:ind w:firstLine="63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（五）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咨询过程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eastAsia="仿宋_GB2312" w:cs="Times New Roman"/>
          <w:sz w:val="32"/>
          <w:szCs w:val="32"/>
        </w:rPr>
        <w:t>．进程：包括咨询不同阶段的重要事件或主题、焦点、互动、处理，以及咨询关系。不需要按照会谈顺序逐次介绍</w:t>
      </w:r>
      <w:r>
        <w:rPr>
          <w:rFonts w:hint="eastAsia" w:ascii="Times New Roman" w:eastAsia="仿宋_GB2312" w:cs="Times New Roman"/>
          <w:sz w:val="32"/>
          <w:szCs w:val="32"/>
        </w:rPr>
        <w:t>，但需附咨询对话摘录。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．其他：如会商、接受督导的简要情况等，如无则不需要。</w:t>
      </w:r>
    </w:p>
    <w:p>
      <w:pPr>
        <w:spacing w:line="338" w:lineRule="auto"/>
        <w:ind w:firstLine="63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（六）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咨询效果</w:t>
      </w:r>
    </w:p>
    <w:p>
      <w:pPr>
        <w:spacing w:line="338" w:lineRule="auto"/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咨询的效果及其表现。</w:t>
      </w:r>
    </w:p>
    <w:p>
      <w:pPr>
        <w:numPr>
          <w:ilvl w:val="255"/>
          <w:numId w:val="0"/>
        </w:numPr>
        <w:spacing w:line="338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（七）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案例评价及反思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eastAsia="仿宋_GB2312" w:cs="Times New Roman"/>
          <w:sz w:val="32"/>
          <w:szCs w:val="32"/>
        </w:rPr>
        <w:t>．对咨询目标成败的思考与分析。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．对咨询过程的评价与反思。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</w:rPr>
        <w:t>．如果在咨询中产生了某个或某些新的自我觉察，请简要介绍与分析自己如何获得这个或这些自我觉察。</w:t>
      </w:r>
    </w:p>
    <w:p>
      <w:pPr>
        <w:widowControl/>
        <w:spacing w:line="338" w:lineRule="auto"/>
        <w:ind w:firstLine="640" w:firstLineChars="200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t>三、说明</w:t>
      </w:r>
    </w:p>
    <w:p>
      <w:pPr>
        <w:widowControl/>
        <w:spacing w:line="338" w:lineRule="auto"/>
        <w:ind w:firstLine="640" w:firstLineChars="200"/>
        <w:jc w:val="lef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案例报告中不能有暴露求助者真实身份的信息，如姓名、住址、学校、专业等</w:t>
      </w:r>
      <w:r>
        <w:rPr>
          <w:rFonts w:hint="eastAsia" w:ascii="Times New Roman" w:eastAsia="仿宋_GB2312" w:cs="Times New Roman"/>
          <w:sz w:val="32"/>
          <w:szCs w:val="32"/>
        </w:rPr>
        <w:t>。若出现伦理相关问题取消参评</w:t>
      </w:r>
      <w:r>
        <w:rPr>
          <w:rFonts w:ascii="Times New Roman" w:eastAsia="仿宋_GB2312" w:cs="Times New Roman"/>
          <w:sz w:val="32"/>
          <w:szCs w:val="32"/>
        </w:rPr>
        <w:t>资格</w:t>
      </w:r>
      <w:r>
        <w:rPr>
          <w:rFonts w:asci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widowControl/>
        <w:spacing w:line="338" w:lineRule="auto"/>
        <w:ind w:firstLine="640" w:firstLineChars="200"/>
        <w:jc w:val="lef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spacing w:line="338" w:lineRule="auto"/>
        <w:ind w:firstLine="640" w:firstLineChars="200"/>
        <w:jc w:val="lef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TA0ZjZmNTAyMzY3ZWY5MmFhMTE2NmNlMzUxZTAifQ=="/>
  </w:docVars>
  <w:rsids>
    <w:rsidRoot w:val="3E870C16"/>
    <w:rsid w:val="3E870C16"/>
    <w:rsid w:val="74D6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703</Characters>
  <Lines>0</Lines>
  <Paragraphs>0</Paragraphs>
  <TotalTime>0</TotalTime>
  <ScaleCrop>false</ScaleCrop>
  <LinksUpToDate>false</LinksUpToDate>
  <CharactersWithSpaces>703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2023-03-14T10:14:00Z</dcterms:created>
  <dc:creator>豆dou-</dc:creator>
  <cp:lastModifiedBy>龙</cp:lastModifiedBy>
  <dcterms:modified xsi:type="dcterms:W3CDTF">2023-04-03T07:45:21Z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85E965E6C4A842C2990E5B10D10CEC09</vt:lpwstr>
  </property>
</Properties>
</file>