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中共陕西科技大学镐京学院委员会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关于做好第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30</w:t>
      </w:r>
      <w:r>
        <w:rPr>
          <w:rFonts w:hint="eastAsia" w:ascii="宋体" w:hAnsi="宋体" w:eastAsia="宋体" w:cs="宋体"/>
          <w:b/>
          <w:sz w:val="32"/>
          <w:szCs w:val="32"/>
        </w:rPr>
        <w:t>期入党积极分子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推荐</w:t>
      </w:r>
      <w:r>
        <w:rPr>
          <w:rFonts w:hint="eastAsia" w:ascii="宋体" w:hAnsi="宋体" w:eastAsia="宋体" w:cs="宋体"/>
          <w:b/>
          <w:sz w:val="32"/>
          <w:szCs w:val="32"/>
        </w:rPr>
        <w:t>和培养工作的通知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各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二级学院党总支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（直属党支部）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团总支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中国共产主义青年团是中国共产党的助手和后备军，为了不断壮大入党积极分子队伍，协助党组织认真做好在优秀团员青年中吸收党员的工作，根据《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共青团陕西科技大学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镐京学院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委员会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入党积极分子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和培养细则》，各级团组织将于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月向党组织推荐一批入党积极分子。现将入党积极分子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工作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和入党积极分子党课培训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的有关工作事宜通知如下：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推荐</w:t>
      </w:r>
      <w:r>
        <w:rPr>
          <w:rFonts w:hint="eastAsia" w:ascii="宋体" w:hAnsi="宋体" w:eastAsia="宋体" w:cs="宋体"/>
          <w:b/>
          <w:sz w:val="28"/>
          <w:szCs w:val="28"/>
        </w:rPr>
        <w:t>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符合《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共青团陕西科技大学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镐京学院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委员会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入党积极分子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和培养细则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的共青团员，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符合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中共陕西科技大学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镐京学院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委员会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教职工党员发展实施细则》的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在职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教职工。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注意：1.提交入党申请书时必须年满18周岁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  2.提交入党申请书三个月以上才能被确定为入党积极分子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二、选拔办法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学生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入党积极分子的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推优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选拔工作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各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团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总支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组织，以班级团支部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为单位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二级学院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团总支应在“公平、公正、公开、择优推荐”的原则下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指导各级团支部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开展本次“推优”工作，对照“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”标准，慎重推荐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具体标准，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参见《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共青团陕西科技大学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镐京学院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委员会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入党积极分子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和培养细则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教工入党积极分子的推荐工作，由各二级学院党总支指导下属党支部进行，具体标准可参考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中共陕西科技大学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镐京学院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委员会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教职工党员发展实施细则》。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培养方式及内容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default" w:ascii="宋体" w:hAnsi="宋体" w:eastAsia="宋体" w:cs="宋体"/>
          <w:color w:val="222222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对于审查通过的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入党积极分子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各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cs="宋体"/>
          <w:color w:val="222222"/>
          <w:kern w:val="0"/>
          <w:sz w:val="24"/>
          <w:szCs w:val="24"/>
          <w:lang w:val="en-US" w:eastAsia="zh-CN"/>
        </w:rPr>
        <w:t>党总支（直属党支部），统一组织安排培训教育。具体培养方式和培训内容，可参考以下安排：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01"/>
        <w:jc w:val="left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-US" w:eastAsia="zh-CN"/>
        </w:rPr>
        <w:t>培养方式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各二级学院党总支（直属党支部）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采取集中授课、视频学习、专题讨论、社会实践等形式进行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培训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党总支、直属党支部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要深入贯彻学习党的十九大精神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“不忘初心、牢记使命”主题教育活动，结合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现阶段疫情防控的特殊情况，合理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开展相关教育内容，切实提高学习的针对性和实效性。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601"/>
        <w:jc w:val="left"/>
        <w:textAlignment w:val="auto"/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222222"/>
          <w:kern w:val="0"/>
          <w:sz w:val="24"/>
          <w:szCs w:val="24"/>
          <w:lang w:val="en-US" w:eastAsia="zh-CN"/>
        </w:rPr>
        <w:t>（二）培养内容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以习近平新时代中国特色社会主义思想为引领，坚持为党培养人的原则，努力培养一批思想政治觉悟高，理想信念坚定的后备军。培训的内容主要以：学习《党章》、《党规》、《中国共产党党员教育管理工作条例》、《中国共产党支部工作条例（试行）》，学习近平总书记重要系列讲话内容和指示精神，学习“不忘初心、牢记使命”优秀共产党员先进事迹，学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社会主义核心价值观等方面教育活动。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四、工作要求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（一）精心组织，认真安排。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各党总支要认真做好入党积极分子培训的各项准备工作，指定专人负责，切实保证培训质量，务求达到培训目的。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（二）严格纪律，加强管理。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各党总支要加强对入党积极分子的管理工作，严格学习纪律。培养期间旷课两次以上以及社会实践活动未达要求者，不得参加党课结业考试。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（三）注重考核，确保效果。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党课培训结束时要采用闭卷考试的形式对培养对象进行学习考核。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院党委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结合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校团委的社会实践表现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和考试结果对本期入党积极分子进行综合考核。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（四）保证时间，及时备案。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各党总支、直属党支部应于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将参训名单上报院党委，于5月25日前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确定培训方案、日程安排，并于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日前完成所有培训工作。培训结束后应及时将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培训方案、日程安排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shd w:val="clear" w:color="auto" w:fill="FFFFFF"/>
        </w:rPr>
        <w:t>党课学员成绩单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、培训工作总结报学院党委备案。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（五）过程跟踪，常态考察。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对于本期确认的入党积极分子，各党总支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直属党支部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及下属党支部、要在日常培养上多下功夫，按照党章要求严格培养程序，重视培养过程，落实培养效果，发挥培养人的作用，根据积极分子思想汇报情况及时进行帮助和培养，务必将积极分子的培养工作落实、落小、落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中共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陕西科技大学镐京学院委员会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jc w:val="right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D9E1F"/>
    <w:multiLevelType w:val="singleLevel"/>
    <w:tmpl w:val="8E3D9E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9D"/>
    <w:rsid w:val="000D5B0A"/>
    <w:rsid w:val="00176BEE"/>
    <w:rsid w:val="001A6A4B"/>
    <w:rsid w:val="001D159D"/>
    <w:rsid w:val="002532E8"/>
    <w:rsid w:val="00346434"/>
    <w:rsid w:val="00390DF1"/>
    <w:rsid w:val="003B7073"/>
    <w:rsid w:val="004E0108"/>
    <w:rsid w:val="004F6A21"/>
    <w:rsid w:val="005741BA"/>
    <w:rsid w:val="005C7825"/>
    <w:rsid w:val="006429B0"/>
    <w:rsid w:val="006539D8"/>
    <w:rsid w:val="008B5963"/>
    <w:rsid w:val="008E3745"/>
    <w:rsid w:val="009134E1"/>
    <w:rsid w:val="00923C82"/>
    <w:rsid w:val="009828D5"/>
    <w:rsid w:val="009F6797"/>
    <w:rsid w:val="00A2200A"/>
    <w:rsid w:val="00AF0D6B"/>
    <w:rsid w:val="00B462EA"/>
    <w:rsid w:val="00D7137A"/>
    <w:rsid w:val="00DB1760"/>
    <w:rsid w:val="00DC7545"/>
    <w:rsid w:val="00ED13EB"/>
    <w:rsid w:val="00F206AC"/>
    <w:rsid w:val="00F24058"/>
    <w:rsid w:val="03413090"/>
    <w:rsid w:val="07F2785C"/>
    <w:rsid w:val="10376D3F"/>
    <w:rsid w:val="21987550"/>
    <w:rsid w:val="37D5604F"/>
    <w:rsid w:val="42FE321A"/>
    <w:rsid w:val="442E60E8"/>
    <w:rsid w:val="5B43188F"/>
    <w:rsid w:val="5F8B7217"/>
    <w:rsid w:val="63ED7CDE"/>
    <w:rsid w:val="695F4539"/>
    <w:rsid w:val="69AE4851"/>
    <w:rsid w:val="70AC104D"/>
    <w:rsid w:val="763A3456"/>
    <w:rsid w:val="790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TotalTime>8</TotalTime>
  <ScaleCrop>false</ScaleCrop>
  <LinksUpToDate>false</LinksUpToDate>
  <CharactersWithSpaces>1032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2016-04-14T11:09:00Z</dcterms:created>
  <dc:creator>admin</dc:creator>
  <cp:lastModifiedBy>Administrator</cp:lastModifiedBy>
  <dcterms:modified xsi:type="dcterms:W3CDTF">2020-05-14T08:10:48Z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